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outlineLvl w:val="9"/>
        <w:rPr>
          <w:rFonts w:hint="eastAsia"/>
        </w:rPr>
      </w:pPr>
      <w:r>
        <w:rPr>
          <w:rFonts w:hint="eastAsia"/>
        </w:rPr>
        <w:t>附件2</w:t>
      </w:r>
    </w:p>
    <w:p>
      <w:pPr>
        <w:pStyle w:val="2"/>
        <w:ind w:left="0" w:leftChars="0" w:firstLine="0" w:firstLineChars="0"/>
        <w:rPr>
          <w:rFonts w:hint="default" w:eastAsia="仿宋_GB2312"/>
          <w:lang w:val="en-US" w:eastAsia="zh-CN"/>
        </w:rPr>
      </w:pPr>
      <w:r>
        <w:rPr>
          <w:rFonts w:hint="eastAsia"/>
          <w:lang w:val="en-US" w:eastAsia="zh-CN"/>
        </w:rPr>
        <w:t>软硬件相关参数</w:t>
      </w:r>
    </w:p>
    <w:tbl>
      <w:tblPr>
        <w:tblStyle w:val="11"/>
        <w:tblW w:w="9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469"/>
        <w:gridCol w:w="6165"/>
        <w:gridCol w:w="798"/>
        <w:gridCol w:w="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5" w:type="dxa"/>
            <w:shd w:val="clear" w:color="000000" w:fill="FFFFFF" w:themeFill="background1"/>
            <w:noWrap/>
            <w:vAlign w:val="center"/>
          </w:tcPr>
          <w:p>
            <w:pPr>
              <w:widowControl/>
              <w:spacing w:line="240" w:lineRule="auto"/>
              <w:ind w:left="0" w:leftChars="0" w:firstLine="0" w:firstLineChars="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序号</w:t>
            </w:r>
          </w:p>
        </w:tc>
        <w:tc>
          <w:tcPr>
            <w:tcW w:w="1469" w:type="dxa"/>
            <w:shd w:val="clear" w:color="000000" w:fill="FFFFFF" w:themeFill="background1"/>
            <w:noWrap/>
            <w:vAlign w:val="center"/>
          </w:tcPr>
          <w:p>
            <w:pPr>
              <w:widowControl/>
              <w:spacing w:line="240" w:lineRule="auto"/>
              <w:ind w:left="0" w:leftChars="0" w:firstLine="0" w:firstLineChars="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货物名称</w:t>
            </w:r>
          </w:p>
        </w:tc>
        <w:tc>
          <w:tcPr>
            <w:tcW w:w="6165" w:type="dxa"/>
            <w:shd w:val="clear" w:color="000000" w:fill="FFFFFF" w:themeFill="background1"/>
            <w:noWrap/>
            <w:vAlign w:val="center"/>
          </w:tcPr>
          <w:p>
            <w:pPr>
              <w:widowControl/>
              <w:spacing w:line="24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技术参数要求</w:t>
            </w:r>
          </w:p>
        </w:tc>
        <w:tc>
          <w:tcPr>
            <w:tcW w:w="798" w:type="dxa"/>
            <w:shd w:val="clear" w:color="000000" w:fill="FFFFFF" w:themeFill="background1"/>
            <w:noWrap/>
            <w:vAlign w:val="center"/>
          </w:tcPr>
          <w:p>
            <w:pPr>
              <w:widowControl/>
              <w:ind w:left="0" w:leftChars="0" w:firstLine="0" w:firstLineChars="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单位</w:t>
            </w:r>
          </w:p>
        </w:tc>
        <w:tc>
          <w:tcPr>
            <w:tcW w:w="694" w:type="dxa"/>
            <w:shd w:val="clear" w:color="000000" w:fill="FFFFFF" w:themeFill="background1"/>
            <w:noWrap/>
            <w:vAlign w:val="center"/>
          </w:tcPr>
          <w:p>
            <w:pPr>
              <w:widowControl/>
              <w:ind w:left="0" w:leftChars="0" w:firstLine="0" w:firstLineChars="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15" w:type="dxa"/>
            <w:shd w:val="clear" w:color="auto" w:fill="auto"/>
            <w:vAlign w:val="center"/>
          </w:tcPr>
          <w:p>
            <w:pPr>
              <w:widowControl/>
              <w:spacing w:line="240" w:lineRule="auto"/>
              <w:ind w:left="0" w:leftChars="0" w:firstLine="0" w:firstLineChars="0"/>
              <w:jc w:val="center"/>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val="en-US" w:eastAsia="zh-CN"/>
              </w:rPr>
              <w:t>1</w:t>
            </w:r>
          </w:p>
        </w:tc>
        <w:tc>
          <w:tcPr>
            <w:tcW w:w="1469" w:type="dxa"/>
            <w:shd w:val="clear" w:color="auto" w:fill="auto"/>
            <w:vAlign w:val="center"/>
          </w:tcPr>
          <w:p>
            <w:pPr>
              <w:widowControl/>
              <w:spacing w:line="240" w:lineRule="auto"/>
              <w:ind w:left="0" w:leftChars="0" w:firstLine="0" w:firstLineChars="0"/>
              <w:jc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GPU卡（GPU计算节点服务器）</w:t>
            </w:r>
          </w:p>
        </w:tc>
        <w:tc>
          <w:tcPr>
            <w:tcW w:w="6165" w:type="dxa"/>
            <w:shd w:val="clear" w:color="000000" w:fill="FFFFFF"/>
            <w:vAlign w:val="center"/>
          </w:tcPr>
          <w:p>
            <w:pPr>
              <w:widowControl/>
              <w:spacing w:line="240" w:lineRule="auto"/>
              <w:ind w:left="0" w:leftChars="0" w:firstLine="0" w:firstLineChars="0"/>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1.▲国产化要求：国产化通用GPU加速卡，保证核心IP技术自主可控； (投标时提供中国软件评测中心出具的评估报告扫描件)</w:t>
            </w:r>
          </w:p>
          <w:p>
            <w:pPr>
              <w:widowControl/>
              <w:spacing w:line="240" w:lineRule="auto"/>
              <w:ind w:left="0" w:leftChars="0" w:firstLine="0" w:firstLineChars="0"/>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2.▲算力理论峰值：≥30TFLOPS@fp32，≥20TFLOPS@fp16/bf16，支持多精度数据类型，支持标准/混精。</w:t>
            </w:r>
            <w:r>
              <w:rPr>
                <w:rFonts w:hint="eastAsia" w:ascii="仿宋_GB2312" w:hAnsi="仿宋_GB2312" w:eastAsia="仿宋_GB2312" w:cs="仿宋_GB2312"/>
                <w:sz w:val="21"/>
                <w:szCs w:val="21"/>
                <w:lang w:eastAsia="zh-CN"/>
              </w:rPr>
              <w:t>(投标时提供集成电路测试专业技术服务平台出具的第三方检测报告扫描件，以及官网截图和产品说明书证明材料扫描件)</w:t>
            </w:r>
          </w:p>
          <w:p>
            <w:pPr>
              <w:widowControl/>
              <w:spacing w:line="240" w:lineRule="auto"/>
              <w:ind w:left="0" w:leftChars="0" w:firstLine="0" w:firstLineChars="0"/>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3.▲内存：≥32GB HBM2；</w:t>
            </w:r>
          </w:p>
          <w:p>
            <w:pPr>
              <w:widowControl/>
              <w:spacing w:line="240" w:lineRule="auto"/>
              <w:ind w:left="0" w:leftChars="0" w:firstLine="0" w:firstLineChars="0"/>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4.接口：支持PCIe 4.0×16 lane；</w:t>
            </w:r>
          </w:p>
          <w:p>
            <w:pPr>
              <w:widowControl/>
              <w:spacing w:line="240" w:lineRule="auto"/>
              <w:ind w:left="0" w:leftChars="0" w:firstLine="0" w:firstLineChars="0"/>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5.▲支持主流深度学习开发框架，兼容国内外主流软件生态。支持直接CUDA API 兼容 cuBlas，cuSparse，cuDNN，cuFFT， cuRAND， NCCL 等函数库，支持直接编译原生CUDA程序；（投标时提供产品说明书证明材料扫描件）</w:t>
            </w:r>
          </w:p>
          <w:p>
            <w:pPr>
              <w:widowControl/>
              <w:spacing w:line="240" w:lineRule="auto"/>
              <w:ind w:left="0" w:leftChars="0" w:firstLine="0" w:firstLineChars="0"/>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6.单卡功耗≤250W；</w:t>
            </w:r>
          </w:p>
          <w:p>
            <w:pPr>
              <w:widowControl/>
              <w:spacing w:line="240" w:lineRule="auto"/>
              <w:ind w:left="0" w:leftChars="0" w:firstLine="0" w:firstLineChars="0"/>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7.▲通过国产深度学习框架的PaddlePaddle的III级兼容性认证；（投标时提供互认证证书扫描件）</w:t>
            </w:r>
          </w:p>
          <w:p>
            <w:pPr>
              <w:widowControl/>
              <w:spacing w:line="240" w:lineRule="auto"/>
              <w:ind w:left="0" w:leftChars="0"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8.大模型支持：支持智源Aquila-CodeGen、智源CPM-LM、智源GLM-Large、清华ChatGLM、 清华 CogView 、OpenAI GPT-2 、Meta LLaMA 、BlinkDL RWKV-LM 等大模型算法，支持DP、TP、PP等分布式并行训练部署，支持3D训练部署；（投标时提供以上模型中至少五项大模型算法测试结果截图证明）</w:t>
            </w:r>
          </w:p>
          <w:p>
            <w:pPr>
              <w:widowControl/>
              <w:spacing w:line="240" w:lineRule="auto"/>
              <w:ind w:left="0" w:leftChars="0" w:firstLine="0" w:firstLineChars="0"/>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9.▲投标时提供有效期内（半年内）的与国产大模型ChatGLM2- 6B的厂商适配认证证书扫描件；</w:t>
            </w:r>
          </w:p>
          <w:p>
            <w:pPr>
              <w:widowControl/>
              <w:spacing w:line="240" w:lineRule="auto"/>
              <w:ind w:left="0" w:leftChars="0" w:firstLine="0" w:firstLineChars="0"/>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10.▲支持包括但不限于CentOS/Ubuntu和国产操作系统等多类型操作系统；（投标时提供麒麟、统信、方德、龙蜥国产操作系统的兼容互认证书扫描件）</w:t>
            </w:r>
          </w:p>
          <w:p>
            <w:pPr>
              <w:widowControl/>
              <w:spacing w:line="240" w:lineRule="auto"/>
              <w:ind w:left="0" w:leftChars="0" w:firstLine="0" w:firstLineChars="0"/>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11.▲异构算力服务：在同一大模型训练任务中，国产算力能够与英伟达训练产品混合部署，统一调度。投标时提供部署方案证明材料扫描件。</w:t>
            </w:r>
          </w:p>
        </w:tc>
        <w:tc>
          <w:tcPr>
            <w:tcW w:w="798" w:type="dxa"/>
            <w:shd w:val="clear" w:color="000000" w:fill="FFFFFF"/>
            <w:vAlign w:val="center"/>
          </w:tcPr>
          <w:p>
            <w:pPr>
              <w:widowControl/>
              <w:ind w:left="0" w:leftChars="0"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1,600</w:t>
            </w:r>
          </w:p>
        </w:tc>
        <w:tc>
          <w:tcPr>
            <w:tcW w:w="694" w:type="dxa"/>
            <w:shd w:val="clear" w:color="000000" w:fill="FFFFFF"/>
            <w:vAlign w:val="center"/>
          </w:tcPr>
          <w:p>
            <w:pPr>
              <w:widowControl/>
              <w:ind w:left="0" w:leftChars="0"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715" w:type="dxa"/>
            <w:shd w:val="clear" w:color="000000" w:fill="FFFFFF"/>
            <w:vAlign w:val="center"/>
          </w:tcPr>
          <w:p>
            <w:pPr>
              <w:widowControl/>
              <w:spacing w:line="240" w:lineRule="auto"/>
              <w:ind w:left="0" w:leftChars="0" w:firstLine="0" w:firstLineChars="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1</w:t>
            </w:r>
          </w:p>
        </w:tc>
        <w:tc>
          <w:tcPr>
            <w:tcW w:w="1469" w:type="dxa"/>
            <w:shd w:val="clear" w:color="000000" w:fill="FFFFFF"/>
            <w:vAlign w:val="center"/>
          </w:tcPr>
          <w:p>
            <w:pPr>
              <w:widowControl/>
              <w:spacing w:line="240" w:lineRule="auto"/>
              <w:ind w:left="0" w:leftChars="0" w:firstLine="0" w:firstLineChars="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IaaS管理</w:t>
            </w:r>
          </w:p>
        </w:tc>
        <w:tc>
          <w:tcPr>
            <w:tcW w:w="6165" w:type="dxa"/>
            <w:shd w:val="clear" w:color="000000" w:fill="FFFFFF"/>
            <w:vAlign w:val="center"/>
          </w:tcPr>
          <w:p>
            <w:pPr>
              <w:widowControl/>
              <w:spacing w:line="240" w:lineRule="auto"/>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1.支持IaaS/PaaS/SaaS一站式部署。</w:t>
            </w:r>
          </w:p>
          <w:p>
            <w:pPr>
              <w:widowControl/>
              <w:spacing w:line="240" w:lineRule="auto"/>
              <w:ind w:left="0" w:leftChars="0" w:firstLine="0" w:firstLineChars="0"/>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2.▲支持集群运行数据监控，包括但不限于CPU/GPU使用率、内存/显存使用率、磁盘读写速率、磁盘使用率、网络吞吐量，CPU负载、磁盘告警阈值，功耗，温度等相关监控数据设置阈值。</w:t>
            </w:r>
            <w:r>
              <w:rPr>
                <w:rFonts w:hint="eastAsia" w:ascii="仿宋_GB2312" w:hAnsi="仿宋_GB2312" w:eastAsia="仿宋_GB2312" w:cs="仿宋_GB2312"/>
                <w:b/>
                <w:bCs/>
                <w:sz w:val="21"/>
                <w:szCs w:val="21"/>
              </w:rPr>
              <w:t xml:space="preserve">(投标时提供至少五项相关功能界面截图) </w:t>
            </w:r>
          </w:p>
          <w:p>
            <w:pPr>
              <w:widowControl/>
              <w:spacing w:line="240" w:lineRule="auto"/>
              <w:ind w:left="0" w:leftChars="0" w:firstLine="0" w:firstLineChars="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3.支持通过容器和虚拟机方式部署集群；投标时提供产品手册扫描件。</w:t>
            </w:r>
          </w:p>
          <w:p>
            <w:pPr>
              <w:widowControl/>
              <w:spacing w:line="240" w:lineRule="auto"/>
              <w:ind w:left="0" w:leftChars="0" w:firstLine="0" w:firstLineChars="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4.支持数据监控对集群告警信息进行及时上报和处理；投标时提供产品手册扫描件。</w:t>
            </w:r>
          </w:p>
          <w:p>
            <w:pPr>
              <w:widowControl/>
              <w:spacing w:line="240" w:lineRule="auto"/>
              <w:ind w:left="0" w:leftChars="0" w:firstLine="0" w:firstLineChars="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5.支持通过管理员身份登录管理平台进行运维，包括故障分析、日志查看和故障恢复等；投标时提供产品手册扫描件。</w:t>
            </w:r>
          </w:p>
          <w:p>
            <w:pPr>
              <w:widowControl/>
              <w:spacing w:line="240" w:lineRule="auto"/>
              <w:ind w:left="0" w:leftChars="0" w:firstLine="0" w:firstLineChars="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6.支持分布式存储和超融合存储方式部署集群。</w:t>
            </w:r>
          </w:p>
          <w:p>
            <w:pPr>
              <w:widowControl/>
              <w:spacing w:line="240" w:lineRule="auto"/>
              <w:ind w:left="0" w:leftChars="0" w:firstLine="0" w:firstLineChars="0"/>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7.▲支持监测系统异常并自动恢复。投标时提供故障恢复统计截图。</w:t>
            </w:r>
          </w:p>
          <w:p>
            <w:pPr>
              <w:widowControl/>
              <w:spacing w:line="240" w:lineRule="auto"/>
              <w:ind w:left="0" w:leftChars="0" w:firstLine="0" w:firstLineChars="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8.支持将开发环境保存为私有镜像和转公有镜像功能。</w:t>
            </w:r>
          </w:p>
          <w:p>
            <w:pPr>
              <w:widowControl/>
              <w:spacing w:line="240" w:lineRule="auto"/>
              <w:ind w:left="0" w:leftChars="0" w:firstLine="0" w:firstLineChars="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9.提供至少3种框架下的基础镜像。</w:t>
            </w:r>
          </w:p>
          <w:p>
            <w:pPr>
              <w:widowControl/>
              <w:spacing w:line="240" w:lineRule="auto"/>
              <w:ind w:left="0" w:leftChars="0" w:firstLine="0" w:firstLineChars="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10.提供至少4种操作系统等多类型操作系统镜像。</w:t>
            </w:r>
          </w:p>
        </w:tc>
        <w:tc>
          <w:tcPr>
            <w:tcW w:w="798" w:type="dxa"/>
            <w:shd w:val="clear" w:color="000000" w:fill="FFFFFF"/>
            <w:vAlign w:val="center"/>
          </w:tcPr>
          <w:p>
            <w:pPr>
              <w:widowControl/>
              <w:spacing w:line="240" w:lineRule="auto"/>
              <w:ind w:left="0" w:leftChars="0"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694" w:type="dxa"/>
            <w:shd w:val="clear" w:color="000000" w:fill="FFFFFF"/>
            <w:vAlign w:val="center"/>
          </w:tcPr>
          <w:p>
            <w:pPr>
              <w:widowControl/>
              <w:spacing w:line="240" w:lineRule="auto"/>
              <w:ind w:left="0" w:leftChars="0"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6" w:hRule="atLeast"/>
          <w:jc w:val="center"/>
        </w:trPr>
        <w:tc>
          <w:tcPr>
            <w:tcW w:w="715" w:type="dxa"/>
            <w:shd w:val="clear" w:color="000000" w:fill="FFFFFF"/>
            <w:vAlign w:val="center"/>
          </w:tcPr>
          <w:p>
            <w:pPr>
              <w:widowControl/>
              <w:spacing w:line="240" w:lineRule="auto"/>
              <w:ind w:left="0" w:leftChars="0" w:firstLine="0" w:firstLineChars="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2</w:t>
            </w:r>
          </w:p>
        </w:tc>
        <w:tc>
          <w:tcPr>
            <w:tcW w:w="1469" w:type="dxa"/>
            <w:shd w:val="clear" w:color="000000" w:fill="FFFFFF"/>
            <w:vAlign w:val="center"/>
          </w:tcPr>
          <w:p>
            <w:pPr>
              <w:widowControl/>
              <w:spacing w:line="240" w:lineRule="auto"/>
              <w:ind w:left="0" w:leftChars="0" w:firstLine="0" w:firstLineChars="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PaaS&amp;SaaS管理</w:t>
            </w:r>
          </w:p>
        </w:tc>
        <w:tc>
          <w:tcPr>
            <w:tcW w:w="6165" w:type="dxa"/>
            <w:shd w:val="clear" w:color="000000" w:fill="FFFFFF"/>
            <w:vAlign w:val="center"/>
          </w:tcPr>
          <w:p>
            <w:pPr>
              <w:widowControl/>
              <w:spacing w:line="240" w:lineRule="auto"/>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b/>
                <w:bCs/>
                <w:sz w:val="21"/>
                <w:szCs w:val="21"/>
              </w:rPr>
              <w:t>▲支持PyTorch/TensorFlow/PaddlePaddle/MindSpore等国内外主流算法框架；支持X86/ARM/LoogArch等CPU框架；支持国产GPU算力和国外主流GPU算力混合部署、统一调度，模型及环境可以无缝切换使用；投标时提供产品手册扫描件。</w:t>
            </w:r>
          </w:p>
          <w:p>
            <w:pPr>
              <w:widowControl/>
              <w:spacing w:line="240" w:lineRule="auto"/>
              <w:ind w:left="0" w:leftChars="0" w:firstLine="0" w:firstLineChars="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w:t>
            </w:r>
            <w:r>
              <w:rPr>
                <w:rFonts w:hint="eastAsia" w:ascii="仿宋_GB2312" w:hAnsi="仿宋_GB2312" w:eastAsia="仿宋_GB2312" w:cs="仿宋_GB2312"/>
                <w:b/>
                <w:bCs/>
                <w:sz w:val="21"/>
                <w:szCs w:val="21"/>
                <w:lang w:eastAsia="zh-CN"/>
              </w:rPr>
              <w:t>▲支持应用市场，可根据不同算法框架和模型类型通过可视化界面快速上线推理任务；投标时提供产品手册扫描件。</w:t>
            </w:r>
          </w:p>
          <w:p>
            <w:pPr>
              <w:widowControl/>
              <w:spacing w:line="240" w:lineRule="auto"/>
              <w:ind w:left="0" w:leftChars="0" w:firstLine="0" w:firstLineChars="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w:t>
            </w:r>
            <w:r>
              <w:rPr>
                <w:rFonts w:hint="eastAsia" w:ascii="仿宋_GB2312" w:hAnsi="仿宋_GB2312" w:eastAsia="仿宋_GB2312" w:cs="仿宋_GB2312"/>
                <w:b/>
                <w:bCs/>
                <w:sz w:val="21"/>
                <w:szCs w:val="21"/>
                <w:lang w:eastAsia="zh-CN"/>
              </w:rPr>
              <w:t>▲支持三维数字孪生模块，可基于平台进行通过可视化界面三维建模、在线预览，支持CPU类3D建模算法在GPU上并行加速；支持基于3D建模技术的模型差异检测；支持基于AI图像生成、大语言模型、语音文本互转、音唇同步算法的数字人方案；投标时提供产品手</w:t>
            </w:r>
            <w:r>
              <w:rPr>
                <w:rFonts w:hint="eastAsia" w:ascii="仿宋_GB2312" w:hAnsi="仿宋_GB2312" w:eastAsia="仿宋_GB2312" w:cs="仿宋_GB2312"/>
                <w:sz w:val="21"/>
                <w:szCs w:val="21"/>
                <w:lang w:eastAsia="zh-CN"/>
              </w:rPr>
              <w:t>册扫描件</w:t>
            </w:r>
            <w:r>
              <w:rPr>
                <w:rFonts w:hint="eastAsia" w:ascii="仿宋_GB2312" w:hAnsi="仿宋_GB2312" w:eastAsia="仿宋_GB2312" w:cs="仿宋_GB2312"/>
                <w:b/>
                <w:bCs/>
                <w:sz w:val="21"/>
                <w:szCs w:val="21"/>
                <w:lang w:eastAsia="zh-CN"/>
              </w:rPr>
              <w:t>。</w:t>
            </w:r>
          </w:p>
          <w:p>
            <w:pPr>
              <w:widowControl/>
              <w:spacing w:line="240" w:lineRule="auto"/>
              <w:ind w:left="0" w:leftChars="0" w:firstLine="0" w:firstLineChars="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4.支持基于分布式训练框架，在多机多卡环境进行大模型训练。投标时提供产品手册扫描件或视频截图。</w:t>
            </w:r>
          </w:p>
          <w:p>
            <w:pPr>
              <w:widowControl/>
              <w:spacing w:line="240" w:lineRule="auto"/>
              <w:ind w:left="0" w:leftChars="0" w:firstLine="0" w:firstLineChars="0"/>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5.▲支持动态挂载卸载算力，挂载卸载过程中对用户数据和环境无影响。投标时提供产品界面截图。</w:t>
            </w:r>
          </w:p>
          <w:p>
            <w:pPr>
              <w:widowControl/>
              <w:spacing w:line="240" w:lineRule="auto"/>
              <w:ind w:left="0" w:leftChars="0" w:firstLine="0" w:firstLineChars="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6.支持虚拟化，投标时提供产品手册扫描件。</w:t>
            </w:r>
          </w:p>
          <w:p>
            <w:pPr>
              <w:widowControl/>
              <w:spacing w:line="240" w:lineRule="auto"/>
              <w:ind w:left="0" w:leftChars="0" w:firstLine="0" w:firstLineChars="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7.支持权限管理，包括用户账户增删改查、账户对于平台子功能权限限制和用户角色授权等；投标时提供产品手册扫描件。</w:t>
            </w:r>
          </w:p>
          <w:p>
            <w:pPr>
              <w:widowControl/>
              <w:spacing w:line="240" w:lineRule="auto"/>
              <w:ind w:left="0" w:leftChars="0" w:firstLine="0" w:firstLineChars="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8.支持算力申请时长功能，到期后算力自动回归资源池；投标时提供用户使用手册扫描件。</w:t>
            </w:r>
          </w:p>
          <w:p>
            <w:pPr>
              <w:widowControl/>
              <w:spacing w:line="240" w:lineRule="auto"/>
              <w:ind w:left="0" w:leftChars="0" w:firstLine="0" w:firstLineChars="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9.支持Jupyter开发工具，支持对当前开发环境的CPU使用率、内存使用率、GPU使用率等数据通过可视化图标方式展示；投标时提供用户使用手册扫描件。</w:t>
            </w:r>
          </w:p>
          <w:p>
            <w:pPr>
              <w:widowControl/>
              <w:spacing w:line="240" w:lineRule="auto"/>
              <w:ind w:left="0" w:leftChars="0" w:firstLine="0" w:firstLineChars="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10.支持通过SSH远程登录云端开发环境，包括通过Terminal、VS Code、PyCharm等方式；投标时提供用户使用手册扫描件。</w:t>
            </w:r>
          </w:p>
          <w:p>
            <w:pPr>
              <w:widowControl/>
              <w:spacing w:line="240" w:lineRule="auto"/>
              <w:ind w:left="0" w:leftChars="0" w:firstLine="0" w:firstLineChars="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11.可支持通过公有云方式上线运营算力能力：投标时提供使用手册扫描件。</w:t>
            </w:r>
          </w:p>
        </w:tc>
        <w:tc>
          <w:tcPr>
            <w:tcW w:w="798" w:type="dxa"/>
            <w:shd w:val="clear" w:color="000000" w:fill="FFFFFF"/>
            <w:vAlign w:val="center"/>
          </w:tcPr>
          <w:p>
            <w:pPr>
              <w:widowControl/>
              <w:spacing w:line="240" w:lineRule="auto"/>
              <w:ind w:left="0" w:leftChars="0"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694" w:type="dxa"/>
            <w:shd w:val="clear" w:color="000000" w:fill="FFFFFF"/>
            <w:vAlign w:val="center"/>
          </w:tcPr>
          <w:p>
            <w:pPr>
              <w:widowControl/>
              <w:spacing w:line="240" w:lineRule="auto"/>
              <w:ind w:left="0" w:leftChars="0"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w:t>
            </w:r>
          </w:p>
        </w:tc>
      </w:tr>
    </w:tbl>
    <w:p>
      <w:pPr>
        <w:ind w:firstLine="0" w:firstLineChars="0"/>
        <w:rPr>
          <w:rFonts w:hint="eastAsia"/>
        </w:rPr>
      </w:pPr>
    </w:p>
    <w:p>
      <w:pPr>
        <w:pStyle w:val="2"/>
        <w:rPr>
          <w:rFonts w:hint="eastAsia"/>
        </w:rPr>
      </w:pPr>
    </w:p>
    <w:p>
      <w:pPr>
        <w:pStyle w:val="3"/>
        <w:rPr>
          <w:rFonts w:hint="eastAsia"/>
        </w:rPr>
      </w:pPr>
    </w:p>
    <w:p>
      <w:pPr>
        <w:pStyle w:val="3"/>
        <w:ind w:left="0" w:leftChars="0" w:firstLine="0" w:firstLineChars="0"/>
        <w:rPr>
          <w:rFonts w:hint="default" w:eastAsia="仿宋_GB2312"/>
          <w:lang w:val="en-US" w:eastAsia="zh-CN"/>
        </w:rPr>
      </w:pPr>
    </w:p>
    <w:p>
      <w:pPr>
        <w:ind w:left="0" w:leftChars="0" w:firstLine="0" w:firstLineChars="0"/>
        <w:rPr>
          <w:rFonts w:hint="default" w:eastAsia="仿宋_GB2312"/>
          <w:lang w:val="en-US" w:eastAsia="zh-CN"/>
        </w:rPr>
      </w:pPr>
      <w:bookmarkStart w:id="0" w:name="_GoBack"/>
      <w:bookmarkEnd w:id="0"/>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F10842"/>
    <w:multiLevelType w:val="multilevel"/>
    <w:tmpl w:val="F0F10842"/>
    <w:lvl w:ilvl="0" w:tentative="0">
      <w:start w:val="1"/>
      <w:numFmt w:val="chineseCountingThousand"/>
      <w:pStyle w:val="20"/>
      <w:lvlText w:val="(%1)"/>
      <w:lvlJc w:val="left"/>
      <w:pPr>
        <w:ind w:left="440" w:hanging="440"/>
      </w:pPr>
      <w:rPr>
        <w:rFonts w:hint="eastAsia"/>
      </w:rPr>
    </w:lvl>
    <w:lvl w:ilvl="1" w:tentative="0">
      <w:start w:val="1"/>
      <w:numFmt w:val="lowerLetter"/>
      <w:lvlText w:val="%2)"/>
      <w:lvlJc w:val="left"/>
      <w:pPr>
        <w:ind w:left="880" w:hanging="440"/>
      </w:pPr>
      <w:rPr>
        <w:rFonts w:hint="eastAsia"/>
      </w:rPr>
    </w:lvl>
    <w:lvl w:ilvl="2" w:tentative="0">
      <w:start w:val="1"/>
      <w:numFmt w:val="lowerRoman"/>
      <w:lvlText w:val="%3."/>
      <w:lvlJc w:val="right"/>
      <w:pPr>
        <w:ind w:left="1320" w:hanging="440"/>
      </w:pPr>
      <w:rPr>
        <w:rFonts w:hint="eastAsia"/>
      </w:rPr>
    </w:lvl>
    <w:lvl w:ilvl="3" w:tentative="0">
      <w:start w:val="1"/>
      <w:numFmt w:val="decimal"/>
      <w:lvlText w:val="%4."/>
      <w:lvlJc w:val="left"/>
      <w:pPr>
        <w:ind w:left="1760" w:hanging="440"/>
      </w:pPr>
      <w:rPr>
        <w:rFonts w:hint="eastAsia"/>
      </w:rPr>
    </w:lvl>
    <w:lvl w:ilvl="4" w:tentative="0">
      <w:start w:val="1"/>
      <w:numFmt w:val="lowerLetter"/>
      <w:lvlText w:val="%5)"/>
      <w:lvlJc w:val="left"/>
      <w:pPr>
        <w:ind w:left="2200" w:hanging="440"/>
      </w:pPr>
      <w:rPr>
        <w:rFonts w:hint="eastAsia"/>
      </w:rPr>
    </w:lvl>
    <w:lvl w:ilvl="5" w:tentative="0">
      <w:start w:val="1"/>
      <w:numFmt w:val="lowerRoman"/>
      <w:lvlText w:val="%6."/>
      <w:lvlJc w:val="right"/>
      <w:pPr>
        <w:ind w:left="2640" w:hanging="440"/>
      </w:pPr>
      <w:rPr>
        <w:rFonts w:hint="eastAsia"/>
      </w:rPr>
    </w:lvl>
    <w:lvl w:ilvl="6" w:tentative="0">
      <w:start w:val="1"/>
      <w:numFmt w:val="decimal"/>
      <w:lvlText w:val="%7."/>
      <w:lvlJc w:val="left"/>
      <w:pPr>
        <w:ind w:left="3080" w:hanging="440"/>
      </w:pPr>
      <w:rPr>
        <w:rFonts w:hint="eastAsia"/>
      </w:rPr>
    </w:lvl>
    <w:lvl w:ilvl="7" w:tentative="0">
      <w:start w:val="1"/>
      <w:numFmt w:val="lowerLetter"/>
      <w:lvlText w:val="%8)"/>
      <w:lvlJc w:val="left"/>
      <w:pPr>
        <w:ind w:left="3520" w:hanging="440"/>
      </w:pPr>
      <w:rPr>
        <w:rFonts w:hint="eastAsia"/>
      </w:rPr>
    </w:lvl>
    <w:lvl w:ilvl="8" w:tentative="0">
      <w:start w:val="1"/>
      <w:numFmt w:val="lowerRoman"/>
      <w:lvlText w:val="%9."/>
      <w:lvlJc w:val="right"/>
      <w:pPr>
        <w:ind w:left="3960" w:hanging="440"/>
      </w:pPr>
      <w:rPr>
        <w:rFonts w:hint="eastAsia"/>
      </w:rPr>
    </w:lvl>
  </w:abstractNum>
  <w:abstractNum w:abstractNumId="1">
    <w:nsid w:val="07F1BBE2"/>
    <w:multiLevelType w:val="multilevel"/>
    <w:tmpl w:val="07F1BBE2"/>
    <w:lvl w:ilvl="0" w:tentative="0">
      <w:start w:val="1"/>
      <w:numFmt w:val="chineseCountingThousand"/>
      <w:pStyle w:val="16"/>
      <w:lvlText w:val="%1、"/>
      <w:lvlJc w:val="left"/>
      <w:pPr>
        <w:ind w:left="440" w:hanging="440"/>
      </w:pPr>
      <w:rPr>
        <w:rFonts w:hint="eastAsia"/>
      </w:rPr>
    </w:lvl>
    <w:lvl w:ilvl="1" w:tentative="0">
      <w:start w:val="1"/>
      <w:numFmt w:val="decimal"/>
      <w:isLgl/>
      <w:suff w:val="space"/>
      <w:lvlText w:val="%1.%2 "/>
      <w:lvlJc w:val="left"/>
      <w:pPr>
        <w:ind w:left="839" w:hanging="839"/>
      </w:pPr>
      <w:rPr>
        <w:rFonts w:hint="eastAsia"/>
        <w:caps w:val="0"/>
        <w:strike w:val="0"/>
        <w:dstrike w:val="0"/>
        <w:vanish w:val="0"/>
        <w:vertAlign w:val="baseline"/>
      </w:rPr>
    </w:lvl>
    <w:lvl w:ilvl="2" w:tentative="0">
      <w:start w:val="1"/>
      <w:numFmt w:val="decimal"/>
      <w:isLgl/>
      <w:suff w:val="space"/>
      <w:lvlText w:val="%1.%2.%3 "/>
      <w:lvlJc w:val="left"/>
      <w:pPr>
        <w:ind w:left="839" w:hanging="839"/>
      </w:pPr>
      <w:rPr>
        <w:rFonts w:hint="eastAsia"/>
      </w:rPr>
    </w:lvl>
    <w:lvl w:ilvl="3" w:tentative="0">
      <w:start w:val="1"/>
      <w:numFmt w:val="decimal"/>
      <w:isLgl/>
      <w:suff w:val="space"/>
      <w:lvlText w:val="%1.%2.%3.%4 "/>
      <w:lvlJc w:val="left"/>
      <w:pPr>
        <w:ind w:left="839" w:hanging="839"/>
      </w:pPr>
      <w:rPr>
        <w:rFonts w:hint="eastAsia"/>
      </w:rPr>
    </w:lvl>
    <w:lvl w:ilvl="4" w:tentative="0">
      <w:start w:val="1"/>
      <w:numFmt w:val="decimal"/>
      <w:isLgl/>
      <w:suff w:val="space"/>
      <w:lvlText w:val="%1.%2.%3.%4.%5 "/>
      <w:lvlJc w:val="left"/>
      <w:pPr>
        <w:ind w:left="839" w:hanging="839"/>
      </w:pPr>
      <w:rPr>
        <w:rFonts w:hint="eastAsia"/>
      </w:rPr>
    </w:lvl>
    <w:lvl w:ilvl="5" w:tentative="0">
      <w:start w:val="1"/>
      <w:numFmt w:val="decimal"/>
      <w:isLgl/>
      <w:suff w:val="space"/>
      <w:lvlText w:val="%1.%2.%3.%4.%5.%6 "/>
      <w:lvlJc w:val="left"/>
      <w:pPr>
        <w:ind w:left="839" w:hanging="839"/>
      </w:pPr>
      <w:rPr>
        <w:rFonts w:hint="eastAsia"/>
      </w:rPr>
    </w:lvl>
    <w:lvl w:ilvl="6" w:tentative="0">
      <w:start w:val="1"/>
      <w:numFmt w:val="decimal"/>
      <w:lvlRestart w:val="1"/>
      <w:pStyle w:val="18"/>
      <w:isLgl/>
      <w:suff w:val="space"/>
      <w:lvlText w:val="图 %1.%7 "/>
      <w:lvlJc w:val="left"/>
      <w:pPr>
        <w:ind w:left="839" w:hanging="839"/>
      </w:pPr>
      <w:rPr>
        <w:rFonts w:hint="eastAsia"/>
      </w:rPr>
    </w:lvl>
    <w:lvl w:ilvl="7" w:tentative="0">
      <w:start w:val="1"/>
      <w:numFmt w:val="decimal"/>
      <w:lvlRestart w:val="1"/>
      <w:pStyle w:val="19"/>
      <w:isLgl/>
      <w:suff w:val="space"/>
      <w:lvlText w:val="表 %1.%8 "/>
      <w:lvlJc w:val="left"/>
      <w:pPr>
        <w:ind w:left="839" w:hanging="839"/>
      </w:pPr>
      <w:rPr>
        <w:rFonts w:hint="eastAsia"/>
      </w:rPr>
    </w:lvl>
    <w:lvl w:ilvl="8" w:tentative="0">
      <w:start w:val="1"/>
      <w:numFmt w:val="none"/>
      <w:suff w:val="nothing"/>
      <w:lvlText w:val=""/>
      <w:lvlJc w:val="left"/>
      <w:pPr>
        <w:ind w:left="839" w:hanging="839"/>
      </w:pPr>
      <w:rPr>
        <w:rFonts w:hint="eastAsia"/>
      </w:rPr>
    </w:lvl>
  </w:abstractNum>
  <w:abstractNum w:abstractNumId="2">
    <w:nsid w:val="73750CD5"/>
    <w:multiLevelType w:val="multilevel"/>
    <w:tmpl w:val="73750CD5"/>
    <w:lvl w:ilvl="0" w:tentative="0">
      <w:start w:val="1"/>
      <w:numFmt w:val="decimal"/>
      <w:pStyle w:val="21"/>
      <w:lvlText w:val="%1、"/>
      <w:lvlJc w:val="left"/>
      <w:pPr>
        <w:ind w:left="1320" w:hanging="440"/>
      </w:pPr>
      <w:rPr>
        <w:rFonts w:hint="eastAsia"/>
      </w:rPr>
    </w:lvl>
    <w:lvl w:ilvl="1" w:tentative="0">
      <w:start w:val="1"/>
      <w:numFmt w:val="lowerLetter"/>
      <w:lvlText w:val="%2)"/>
      <w:lvlJc w:val="left"/>
      <w:pPr>
        <w:ind w:left="1760" w:hanging="440"/>
      </w:pPr>
    </w:lvl>
    <w:lvl w:ilvl="2" w:tentative="0">
      <w:start w:val="1"/>
      <w:numFmt w:val="lowerRoman"/>
      <w:lvlText w:val="%3."/>
      <w:lvlJc w:val="right"/>
      <w:pPr>
        <w:ind w:left="2200" w:hanging="440"/>
      </w:pPr>
    </w:lvl>
    <w:lvl w:ilvl="3" w:tentative="0">
      <w:start w:val="1"/>
      <w:numFmt w:val="decimal"/>
      <w:lvlText w:val="%4."/>
      <w:lvlJc w:val="left"/>
      <w:pPr>
        <w:ind w:left="2640" w:hanging="440"/>
      </w:pPr>
    </w:lvl>
    <w:lvl w:ilvl="4" w:tentative="0">
      <w:start w:val="1"/>
      <w:numFmt w:val="lowerLetter"/>
      <w:lvlText w:val="%5)"/>
      <w:lvlJc w:val="left"/>
      <w:pPr>
        <w:ind w:left="3080" w:hanging="440"/>
      </w:pPr>
    </w:lvl>
    <w:lvl w:ilvl="5" w:tentative="0">
      <w:start w:val="1"/>
      <w:numFmt w:val="lowerRoman"/>
      <w:lvlText w:val="%6."/>
      <w:lvlJc w:val="right"/>
      <w:pPr>
        <w:ind w:left="3520" w:hanging="440"/>
      </w:pPr>
    </w:lvl>
    <w:lvl w:ilvl="6" w:tentative="0">
      <w:start w:val="1"/>
      <w:numFmt w:val="decimal"/>
      <w:lvlText w:val="%7."/>
      <w:lvlJc w:val="left"/>
      <w:pPr>
        <w:ind w:left="3960" w:hanging="440"/>
      </w:pPr>
    </w:lvl>
    <w:lvl w:ilvl="7" w:tentative="0">
      <w:start w:val="1"/>
      <w:numFmt w:val="lowerLetter"/>
      <w:lvlText w:val="%8)"/>
      <w:lvlJc w:val="left"/>
      <w:pPr>
        <w:ind w:left="4400" w:hanging="440"/>
      </w:pPr>
    </w:lvl>
    <w:lvl w:ilvl="8" w:tentative="0">
      <w:start w:val="1"/>
      <w:numFmt w:val="lowerRoman"/>
      <w:lvlText w:val="%9."/>
      <w:lvlJc w:val="right"/>
      <w:pPr>
        <w:ind w:left="4840" w:hanging="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dmOWFiYjVlNjkyNWYyNjQwYjEzNTlkYzQyYmI0YWQifQ=="/>
  </w:docVars>
  <w:rsids>
    <w:rsidRoot w:val="488D57A0"/>
    <w:rsid w:val="00062C21"/>
    <w:rsid w:val="002366CD"/>
    <w:rsid w:val="00406C90"/>
    <w:rsid w:val="005520A6"/>
    <w:rsid w:val="005A508D"/>
    <w:rsid w:val="006532A1"/>
    <w:rsid w:val="008668D1"/>
    <w:rsid w:val="0099092B"/>
    <w:rsid w:val="00C75625"/>
    <w:rsid w:val="00DD1227"/>
    <w:rsid w:val="00FE1E55"/>
    <w:rsid w:val="01647D2D"/>
    <w:rsid w:val="0259759B"/>
    <w:rsid w:val="0433059D"/>
    <w:rsid w:val="075F18ED"/>
    <w:rsid w:val="0C3E0AA9"/>
    <w:rsid w:val="10807356"/>
    <w:rsid w:val="13B71875"/>
    <w:rsid w:val="18814EDA"/>
    <w:rsid w:val="18E36F38"/>
    <w:rsid w:val="21115C38"/>
    <w:rsid w:val="25960D37"/>
    <w:rsid w:val="2C101CA6"/>
    <w:rsid w:val="304E1D02"/>
    <w:rsid w:val="37237CBC"/>
    <w:rsid w:val="3751433A"/>
    <w:rsid w:val="38102174"/>
    <w:rsid w:val="3A30632D"/>
    <w:rsid w:val="3EA917D7"/>
    <w:rsid w:val="4024234E"/>
    <w:rsid w:val="488D57A0"/>
    <w:rsid w:val="4D1554BE"/>
    <w:rsid w:val="57DB745C"/>
    <w:rsid w:val="57FE8035"/>
    <w:rsid w:val="5FB54A36"/>
    <w:rsid w:val="612324DF"/>
    <w:rsid w:val="68CA23A5"/>
    <w:rsid w:val="6E9F3AB2"/>
    <w:rsid w:val="78C12D83"/>
    <w:rsid w:val="7AD61519"/>
    <w:rsid w:val="7B5536C5"/>
    <w:rsid w:val="7BAF198C"/>
    <w:rsid w:val="7E4C09C1"/>
    <w:rsid w:val="7EE46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883" w:firstLineChars="200"/>
      <w:jc w:val="both"/>
    </w:pPr>
    <w:rPr>
      <w:rFonts w:ascii="仿宋_GB2312" w:hAnsi="仿宋_GB2312" w:eastAsia="仿宋_GB2312" w:cstheme="minorBidi"/>
      <w:kern w:val="2"/>
      <w:sz w:val="32"/>
      <w:szCs w:val="24"/>
      <w:lang w:val="en-US" w:eastAsia="zh-CN" w:bidi="ar-SA"/>
    </w:rPr>
  </w:style>
  <w:style w:type="paragraph" w:styleId="5">
    <w:name w:val="heading 1"/>
    <w:basedOn w:val="1"/>
    <w:next w:val="1"/>
    <w:qFormat/>
    <w:uiPriority w:val="0"/>
    <w:pPr>
      <w:keepNext/>
      <w:keepLines/>
      <w:adjustRightInd w:val="0"/>
      <w:ind w:firstLine="0" w:firstLineChars="0"/>
      <w:jc w:val="center"/>
      <w:outlineLvl w:val="0"/>
    </w:pPr>
    <w:rPr>
      <w:rFonts w:ascii="方正小标宋简体" w:hAnsi="方正小标宋简体" w:eastAsia="方正小标宋简体"/>
      <w:kern w:val="44"/>
      <w:sz w:val="44"/>
    </w:rPr>
  </w:style>
  <w:style w:type="paragraph" w:styleId="6">
    <w:name w:val="heading 2"/>
    <w:basedOn w:val="1"/>
    <w:next w:val="1"/>
    <w:link w:val="15"/>
    <w:unhideWhenUsed/>
    <w:qFormat/>
    <w:uiPriority w:val="0"/>
    <w:pPr>
      <w:keepNext/>
      <w:keepLines/>
      <w:ind w:firstLine="0" w:firstLineChars="0"/>
      <w:outlineLvl w:val="1"/>
    </w:pPr>
    <w:rPr>
      <w:rFonts w:ascii="黑体" w:hAnsi="黑体" w:eastAsia="黑体" w:cs="宋体"/>
      <w:bCs/>
      <w:szCs w:val="32"/>
    </w:rPr>
  </w:style>
  <w:style w:type="paragraph" w:styleId="7">
    <w:name w:val="heading 3"/>
    <w:basedOn w:val="1"/>
    <w:next w:val="1"/>
    <w:unhideWhenUsed/>
    <w:qFormat/>
    <w:uiPriority w:val="0"/>
    <w:pPr>
      <w:keepNext/>
      <w:keepLines/>
      <w:outlineLvl w:val="2"/>
    </w:pPr>
    <w:rPr>
      <w:rFonts w:ascii="楷体_GB2312" w:hAnsi="楷体_GB2312" w:eastAsia="楷体_GB231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ind w:left="420" w:leftChars="200"/>
      <w:jc w:val="left"/>
    </w:pPr>
    <w:rPr>
      <w:kern w:val="0"/>
      <w:szCs w:val="20"/>
    </w:rPr>
  </w:style>
  <w:style w:type="paragraph" w:styleId="3">
    <w:name w:val="Body Text First Indent 2"/>
    <w:basedOn w:val="4"/>
    <w:next w:val="2"/>
    <w:qFormat/>
    <w:uiPriority w:val="0"/>
    <w:pPr>
      <w:ind w:left="0" w:leftChars="0" w:firstLine="420"/>
    </w:pPr>
    <w:rPr>
      <w:rFonts w:cs="Times New Roman"/>
      <w:kern w:val="0"/>
    </w:rPr>
  </w:style>
  <w:style w:type="paragraph" w:styleId="4">
    <w:name w:val="Body Text Indent"/>
    <w:basedOn w:val="1"/>
    <w:qFormat/>
    <w:uiPriority w:val="0"/>
    <w:pPr>
      <w:spacing w:after="120"/>
      <w:ind w:left="420" w:leftChars="200"/>
    </w:pPr>
  </w:style>
  <w:style w:type="paragraph" w:styleId="8">
    <w:name w:val="Body Text Indent 2"/>
    <w:basedOn w:val="1"/>
    <w:qFormat/>
    <w:uiPriority w:val="0"/>
    <w:pPr>
      <w:spacing w:after="120" w:line="480" w:lineRule="auto"/>
      <w:ind w:left="420" w:leftChars="200"/>
    </w:p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Body Text First Indent"/>
    <w:basedOn w:val="2"/>
    <w:qFormat/>
    <w:uiPriority w:val="0"/>
    <w:pPr>
      <w:ind w:firstLine="420" w:firstLineChars="100"/>
    </w:pPr>
  </w:style>
  <w:style w:type="character" w:styleId="13">
    <w:name w:val="Hyperlink"/>
    <w:basedOn w:val="12"/>
    <w:qFormat/>
    <w:uiPriority w:val="0"/>
    <w:rPr>
      <w:color w:val="0000FF"/>
      <w:u w:val="single"/>
    </w:rPr>
  </w:style>
  <w:style w:type="paragraph" w:customStyle="1" w:styleId="14">
    <w:name w:val="正文-公1"/>
    <w:basedOn w:val="1"/>
    <w:qFormat/>
    <w:uiPriority w:val="0"/>
    <w:pPr>
      <w:ind w:firstLine="200"/>
    </w:pPr>
  </w:style>
  <w:style w:type="character" w:customStyle="1" w:styleId="15">
    <w:name w:val="标题 2 字符"/>
    <w:basedOn w:val="12"/>
    <w:link w:val="6"/>
    <w:qFormat/>
    <w:uiPriority w:val="9"/>
    <w:rPr>
      <w:rFonts w:ascii="黑体" w:hAnsi="黑体" w:eastAsia="黑体" w:cs="宋体"/>
      <w:bCs/>
      <w:sz w:val="32"/>
      <w:szCs w:val="32"/>
    </w:rPr>
  </w:style>
  <w:style w:type="paragraph" w:customStyle="1" w:styleId="16">
    <w:name w:val="标题 1（Ryan）"/>
    <w:next w:val="1"/>
    <w:link w:val="17"/>
    <w:qFormat/>
    <w:uiPriority w:val="0"/>
    <w:pPr>
      <w:widowControl w:val="0"/>
      <w:numPr>
        <w:ilvl w:val="0"/>
        <w:numId w:val="1"/>
      </w:numPr>
      <w:spacing w:line="600" w:lineRule="exact"/>
      <w:ind w:left="0" w:firstLine="0"/>
      <w:outlineLvl w:val="0"/>
    </w:pPr>
    <w:rPr>
      <w:rFonts w:ascii="黑体" w:hAnsi="黑体" w:eastAsia="黑体" w:cs="Times New Roman"/>
      <w:bCs/>
      <w:kern w:val="44"/>
      <w:sz w:val="32"/>
      <w:szCs w:val="44"/>
      <w:lang w:val="en-US" w:eastAsia="zh-CN" w:bidi="ar-SA"/>
    </w:rPr>
  </w:style>
  <w:style w:type="character" w:customStyle="1" w:styleId="17">
    <w:name w:val="标题 1（Ryan） 字符"/>
    <w:basedOn w:val="12"/>
    <w:link w:val="16"/>
    <w:qFormat/>
    <w:uiPriority w:val="0"/>
    <w:rPr>
      <w:rFonts w:ascii="黑体" w:hAnsi="黑体" w:eastAsia="黑体" w:cs="Times New Roman"/>
      <w:bCs/>
      <w:kern w:val="44"/>
      <w:sz w:val="32"/>
      <w:szCs w:val="44"/>
    </w:rPr>
  </w:style>
  <w:style w:type="paragraph" w:customStyle="1" w:styleId="18">
    <w:name w:val="插图标注（Ryan）"/>
    <w:basedOn w:val="1"/>
    <w:qFormat/>
    <w:uiPriority w:val="0"/>
    <w:pPr>
      <w:numPr>
        <w:ilvl w:val="6"/>
        <w:numId w:val="1"/>
      </w:numPr>
      <w:ind w:firstLineChars="0"/>
    </w:pPr>
  </w:style>
  <w:style w:type="paragraph" w:customStyle="1" w:styleId="19">
    <w:name w:val="表格标注（Ryan）"/>
    <w:basedOn w:val="1"/>
    <w:qFormat/>
    <w:uiPriority w:val="0"/>
    <w:pPr>
      <w:numPr>
        <w:ilvl w:val="7"/>
        <w:numId w:val="1"/>
      </w:numPr>
      <w:ind w:firstLineChars="0"/>
    </w:pPr>
  </w:style>
  <w:style w:type="paragraph" w:customStyle="1" w:styleId="20">
    <w:name w:val="标题 2（Ryan）"/>
    <w:basedOn w:val="16"/>
    <w:next w:val="1"/>
    <w:qFormat/>
    <w:uiPriority w:val="0"/>
    <w:pPr>
      <w:numPr>
        <w:numId w:val="2"/>
      </w:numPr>
      <w:ind w:left="0" w:firstLine="880" w:firstLineChars="200"/>
      <w:outlineLvl w:val="1"/>
    </w:pPr>
    <w:rPr>
      <w:rFonts w:ascii="楷体_GB2312" w:hAnsi="楷体_GB2312" w:eastAsia="楷体_GB2312"/>
      <w:szCs w:val="32"/>
    </w:rPr>
  </w:style>
  <w:style w:type="paragraph" w:customStyle="1" w:styleId="21">
    <w:name w:val="标题 3（Ryan）"/>
    <w:basedOn w:val="20"/>
    <w:next w:val="1"/>
    <w:qFormat/>
    <w:uiPriority w:val="0"/>
    <w:pPr>
      <w:numPr>
        <w:numId w:val="3"/>
      </w:numPr>
      <w:tabs>
        <w:tab w:val="left" w:pos="360"/>
        <w:tab w:val="left" w:pos="960"/>
      </w:tabs>
      <w:ind w:left="0"/>
      <w:outlineLvl w:val="2"/>
    </w:pPr>
    <w:rPr>
      <w:rFonts w:ascii="仿宋_GB2312" w:hAnsi="仿宋_GB2312" w:eastAsia="仿宋_GB2312"/>
      <w:bCs w:val="0"/>
      <w:szCs w:val="30"/>
    </w:rPr>
  </w:style>
  <w:style w:type="paragraph" w:customStyle="1" w:styleId="22">
    <w:name w:val="表格"/>
    <w:next w:val="1"/>
    <w:link w:val="23"/>
    <w:qFormat/>
    <w:uiPriority w:val="1"/>
    <w:pPr>
      <w:spacing w:before="120" w:after="120"/>
    </w:pPr>
    <w:rPr>
      <w:rFonts w:ascii="Times New Roman" w:hAnsi="Times New Roman" w:eastAsiaTheme="minorEastAsia" w:cstheme="minorBidi"/>
      <w:kern w:val="2"/>
      <w:sz w:val="21"/>
      <w:szCs w:val="21"/>
      <w:lang w:val="en-US" w:eastAsia="zh-CN" w:bidi="ar-SA"/>
    </w:rPr>
  </w:style>
  <w:style w:type="character" w:customStyle="1" w:styleId="23">
    <w:name w:val="表格 字符"/>
    <w:basedOn w:val="12"/>
    <w:link w:val="22"/>
    <w:qFormat/>
    <w:uiPriority w:val="1"/>
    <w:rPr>
      <w:rFonts w:eastAsiaTheme="minorEastAsia" w:cstheme="minorBidi"/>
      <w:kern w:val="2"/>
      <w:sz w:val="21"/>
      <w:szCs w:val="21"/>
    </w:rPr>
  </w:style>
  <w:style w:type="paragraph" w:styleId="24">
    <w:name w:val="List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3765</Words>
  <Characters>4619</Characters>
  <Lines>24</Lines>
  <Paragraphs>6</Paragraphs>
  <TotalTime>1</TotalTime>
  <ScaleCrop>false</ScaleCrop>
  <LinksUpToDate>false</LinksUpToDate>
  <CharactersWithSpaces>4704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2023-09-26T09:18:00Z</dcterms:created>
  <dc:creator>Leo</dc:creator>
  <cp:lastModifiedBy>Gareth</cp:lastModifiedBy>
  <dcterms:modified xsi:type="dcterms:W3CDTF">2023-11-08T07:40:13Z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4D6F9EB995B94D3991BBF87315A2A1A6_13</vt:lpwstr>
  </property>
</Properties>
</file>